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BF" w:rsidRPr="006B41BF" w:rsidRDefault="006B41BF" w:rsidP="006B41BF">
      <w:pPr>
        <w:jc w:val="both"/>
        <w:rPr>
          <w:sz w:val="24"/>
          <w:szCs w:val="24"/>
        </w:rPr>
      </w:pPr>
      <w:bookmarkStart w:id="0" w:name="_GoBack"/>
      <w:proofErr w:type="gramStart"/>
      <w:r w:rsidRPr="006B41BF">
        <w:rPr>
          <w:sz w:val="24"/>
          <w:szCs w:val="24"/>
        </w:rPr>
        <w:t>M.E.B</w:t>
      </w:r>
      <w:proofErr w:type="gramEnd"/>
      <w:r w:rsidRPr="006B41BF">
        <w:rPr>
          <w:sz w:val="24"/>
          <w:szCs w:val="24"/>
        </w:rPr>
        <w:t xml:space="preserve"> Ödeme Mektubu</w:t>
      </w:r>
    </w:p>
    <w:p w:rsidR="006B41BF" w:rsidRPr="006B41BF" w:rsidRDefault="006B41BF" w:rsidP="006B41BF">
      <w:pPr>
        <w:jc w:val="both"/>
        <w:rPr>
          <w:sz w:val="24"/>
          <w:szCs w:val="24"/>
        </w:rPr>
      </w:pPr>
      <w:r w:rsidRPr="006B41BF">
        <w:rPr>
          <w:sz w:val="24"/>
          <w:szCs w:val="24"/>
        </w:rPr>
        <w:tab/>
        <w:t xml:space="preserve"> İlgi (a) yazı ve ekleri incelenmiştir.</w:t>
      </w:r>
    </w:p>
    <w:p w:rsidR="006B41BF" w:rsidRPr="006B41BF" w:rsidRDefault="006B41BF" w:rsidP="006B41BF">
      <w:pPr>
        <w:jc w:val="both"/>
        <w:rPr>
          <w:sz w:val="24"/>
          <w:szCs w:val="24"/>
        </w:rPr>
      </w:pPr>
      <w:r w:rsidRPr="006B41BF">
        <w:rPr>
          <w:sz w:val="24"/>
          <w:szCs w:val="24"/>
        </w:rPr>
        <w:tab/>
        <w:t xml:space="preserve"> İlgi (c) yazıda, </w:t>
      </w:r>
      <w:proofErr w:type="gramStart"/>
      <w:r w:rsidRPr="006B41BF">
        <w:rPr>
          <w:sz w:val="24"/>
          <w:szCs w:val="24"/>
        </w:rPr>
        <w:t>Ankara ...</w:t>
      </w:r>
      <w:proofErr w:type="gramEnd"/>
      <w:r w:rsidRPr="006B41BF">
        <w:rPr>
          <w:sz w:val="24"/>
          <w:szCs w:val="24"/>
        </w:rPr>
        <w:t xml:space="preserve"> Asliye Hukuk Mahkemesinin 2011/... Hakem esas, 2012/... sayılı gerekçeli kararındaki alacakların tahsili hususunda nasıl bir işlem </w:t>
      </w:r>
      <w:proofErr w:type="gramStart"/>
      <w:r w:rsidRPr="006B41BF">
        <w:rPr>
          <w:sz w:val="24"/>
          <w:szCs w:val="24"/>
        </w:rPr>
        <w:t>yapılacağı  hakkında</w:t>
      </w:r>
      <w:proofErr w:type="gramEnd"/>
      <w:r w:rsidRPr="006B41BF">
        <w:rPr>
          <w:sz w:val="24"/>
          <w:szCs w:val="24"/>
        </w:rPr>
        <w:t xml:space="preserve"> müdürlüklerine bilgi verilmesi istenildiğinden bahisle Müşavirliğimizden konuya ilişkin nasıl bir işlem yapılacağı hakkında bilgi istenmektedir. </w:t>
      </w:r>
    </w:p>
    <w:p w:rsidR="006B41BF" w:rsidRPr="006B41BF" w:rsidRDefault="006B41BF" w:rsidP="006B41BF">
      <w:pPr>
        <w:jc w:val="both"/>
        <w:rPr>
          <w:sz w:val="24"/>
          <w:szCs w:val="24"/>
        </w:rPr>
      </w:pPr>
      <w:r w:rsidRPr="006B41BF">
        <w:rPr>
          <w:sz w:val="24"/>
          <w:szCs w:val="24"/>
        </w:rPr>
        <w:t xml:space="preserve">Bilindiği gibi, </w:t>
      </w:r>
      <w:proofErr w:type="gramStart"/>
      <w:r w:rsidRPr="006B41BF">
        <w:rPr>
          <w:sz w:val="24"/>
          <w:szCs w:val="24"/>
        </w:rPr>
        <w:t>26/11/2014</w:t>
      </w:r>
      <w:proofErr w:type="gramEnd"/>
      <w:r w:rsidRPr="006B41BF">
        <w:rPr>
          <w:sz w:val="24"/>
          <w:szCs w:val="24"/>
        </w:rPr>
        <w:t xml:space="preserve"> tarihli ve 5751811 sayılı Bakan Onayı ile yürürlüğe konulan Millî Eğitim Bakanlığı Hukuk Müşavirliği Yönetmeliğinin "Hukuki görüşler" başlıklı 19 uncu maddesinde; "Birimler ve valilikler Hukuk Müşavirliğinden hukuki görüş talebinde bulunabilirler. Hukuki görüş talepleri yapılırken aşağıdaki hususlara uyulması zorunludur.</w:t>
      </w:r>
    </w:p>
    <w:p w:rsidR="006B41BF" w:rsidRPr="006B41BF" w:rsidRDefault="006B41BF" w:rsidP="006B41BF">
      <w:pPr>
        <w:jc w:val="both"/>
        <w:rPr>
          <w:sz w:val="24"/>
          <w:szCs w:val="24"/>
        </w:rPr>
      </w:pPr>
      <w:r w:rsidRPr="006B41BF">
        <w:rPr>
          <w:sz w:val="24"/>
          <w:szCs w:val="24"/>
        </w:rPr>
        <w:t>a) Görüş talep yazısı, konuyla ilgili belgeler eklenerek birim amirinin/valinin imzası ile Hukuk Müşavirliğine gönderilir.</w:t>
      </w:r>
    </w:p>
    <w:p w:rsidR="006B41BF" w:rsidRPr="006B41BF" w:rsidRDefault="006B41BF" w:rsidP="006B41BF">
      <w:pPr>
        <w:jc w:val="both"/>
        <w:rPr>
          <w:sz w:val="24"/>
          <w:szCs w:val="24"/>
        </w:rPr>
      </w:pPr>
      <w:r w:rsidRPr="006B41BF">
        <w:rPr>
          <w:sz w:val="24"/>
          <w:szCs w:val="24"/>
        </w:rPr>
        <w:t>b) Görüş talep yazısında görüş ihtiyacını doğuran hukuki tereddütler mevzuat hükümleri de belirtilerek bildirilir. Birimin/valiliğin bu konudaki görüşüne de yer verilir.</w:t>
      </w:r>
    </w:p>
    <w:p w:rsidR="006B41BF" w:rsidRPr="006B41BF" w:rsidRDefault="006B41BF" w:rsidP="006B41BF">
      <w:pPr>
        <w:jc w:val="both"/>
        <w:rPr>
          <w:sz w:val="24"/>
          <w:szCs w:val="24"/>
        </w:rPr>
      </w:pPr>
      <w:r w:rsidRPr="006B41BF">
        <w:rPr>
          <w:sz w:val="24"/>
          <w:szCs w:val="24"/>
        </w:rPr>
        <w:t>c) Hukuki görüş talepleri; eğitim ve öğretim, bütçe uygulamaları, denetim, personel özlük hakları ve diğer teknik konulardan ayırt edilerek sadece hukuki tereddütlere ilişkin olmalıdır.</w:t>
      </w:r>
    </w:p>
    <w:p w:rsidR="006B41BF" w:rsidRPr="006B41BF" w:rsidRDefault="006B41BF" w:rsidP="006B41BF">
      <w:pPr>
        <w:jc w:val="both"/>
        <w:rPr>
          <w:sz w:val="24"/>
          <w:szCs w:val="24"/>
        </w:rPr>
      </w:pPr>
      <w:r w:rsidRPr="006B41BF">
        <w:rPr>
          <w:sz w:val="24"/>
          <w:szCs w:val="24"/>
        </w:rPr>
        <w:t>(2) İdari işlem niteliğinde veya uygulamanın nasıl yapılacağına ilişkin idarenin takdir yetkisini bağlayıcı nitelikte görüş talebinde bulunulamaz.</w:t>
      </w:r>
    </w:p>
    <w:p w:rsidR="006B41BF" w:rsidRPr="006B41BF" w:rsidRDefault="006B41BF" w:rsidP="006B41BF">
      <w:pPr>
        <w:jc w:val="both"/>
        <w:rPr>
          <w:sz w:val="24"/>
          <w:szCs w:val="24"/>
        </w:rPr>
      </w:pPr>
      <w:r w:rsidRPr="006B41BF">
        <w:rPr>
          <w:sz w:val="24"/>
          <w:szCs w:val="24"/>
        </w:rPr>
        <w:t>(3) İl müdürlüklerinde; uygulamalarda tereddüde düşülen konuları gidermeye Hukuk hizmetleri biriminde görevli avukatlar yetkili ve sorumludur. Tereddüt konusunun bu avukatlar tarafından giderilememesi durumunda, bu maddede belirtilen ilkeler çerçevesinde Hukuk Müşavirliğinden görüş istenebilir.</w:t>
      </w:r>
    </w:p>
    <w:p w:rsidR="006B41BF" w:rsidRPr="006B41BF" w:rsidRDefault="006B41BF" w:rsidP="006B41BF">
      <w:pPr>
        <w:jc w:val="both"/>
        <w:rPr>
          <w:sz w:val="24"/>
          <w:szCs w:val="24"/>
        </w:rPr>
      </w:pPr>
      <w:r w:rsidRPr="006B41BF">
        <w:rPr>
          <w:sz w:val="24"/>
          <w:szCs w:val="24"/>
        </w:rPr>
        <w:t xml:space="preserve">(4) Hukuki görüşler </w:t>
      </w:r>
      <w:proofErr w:type="spellStart"/>
      <w:r w:rsidRPr="006B41BF">
        <w:rPr>
          <w:sz w:val="24"/>
          <w:szCs w:val="24"/>
        </w:rPr>
        <w:t>istişari</w:t>
      </w:r>
      <w:proofErr w:type="spellEnd"/>
      <w:r w:rsidRPr="006B41BF">
        <w:rPr>
          <w:sz w:val="24"/>
          <w:szCs w:val="24"/>
        </w:rPr>
        <w:t xml:space="preserve"> mahiyette olup idareyi bağlayıcı değildir." hükmüne yer verilmiştir.</w:t>
      </w:r>
    </w:p>
    <w:p w:rsidR="006B41BF" w:rsidRPr="006B41BF" w:rsidRDefault="006B41BF" w:rsidP="006B41BF">
      <w:pPr>
        <w:jc w:val="both"/>
        <w:rPr>
          <w:sz w:val="24"/>
          <w:szCs w:val="24"/>
        </w:rPr>
      </w:pPr>
      <w:r w:rsidRPr="006B41BF">
        <w:rPr>
          <w:sz w:val="24"/>
          <w:szCs w:val="24"/>
        </w:rPr>
        <w:t xml:space="preserve">Yukarıda alıntılanan Müşavirliğimiz Yönetmeliğinin 19 uncu maddesi 2 inci fıkrası, "İdari işlem niteliğinde veya uygulamanın nasıl yapılacağına ilişkin idarenin takdir yetkisini bağlayıcı nitelikte görüş talebinde bulunulamaz." hükmü uyarınca konuya ilişkin Müşavirliğimizce görüş verilmesi mümkün olmamakla birlikte, </w:t>
      </w:r>
    </w:p>
    <w:p w:rsidR="006B41BF" w:rsidRPr="006B41BF" w:rsidRDefault="006B41BF" w:rsidP="006B41BF">
      <w:pPr>
        <w:jc w:val="both"/>
        <w:rPr>
          <w:sz w:val="24"/>
          <w:szCs w:val="24"/>
        </w:rPr>
      </w:pPr>
      <w:proofErr w:type="gramStart"/>
      <w:r w:rsidRPr="006B41BF">
        <w:rPr>
          <w:sz w:val="24"/>
          <w:szCs w:val="24"/>
        </w:rPr>
        <w:t xml:space="preserve">6360 sayılı On Dört İlde Büyükşehir Belediyesi ve Yirmi Yedi İlçe Kurulması ile Bazı Kanun ve Kanun Hükmünde Kararnamelerde Değişiklik Yapılmasına Dair Kanunun Çeşitli hükümler başlıklı 3 üncü maddesinin 2 inci fıkrasında; "Mevzuatla il özel idarelerine yapılan atıflar bu Kanun kapsamında tüzel kişiliği kaldırılan il özel idareleri için ilgisine göre bakanlıklara, bakanlıkların bağlı veya ilgili kuruluşları ile bunların taşra teşkilatına, Hazineye, valiliklere, büyükşehir belediyelerine ve bağlı kuruluşlarına veya ilçe belediyelerine yapılmış sayılır. </w:t>
      </w:r>
      <w:proofErr w:type="gramEnd"/>
      <w:r w:rsidRPr="006B41BF">
        <w:rPr>
          <w:sz w:val="24"/>
          <w:szCs w:val="24"/>
        </w:rPr>
        <w:t xml:space="preserve">Tüzel kişiliği kaldırılan il özel idarelerine </w:t>
      </w:r>
      <w:proofErr w:type="gramStart"/>
      <w:r w:rsidRPr="006B41BF">
        <w:rPr>
          <w:sz w:val="24"/>
          <w:szCs w:val="24"/>
        </w:rPr>
        <w:t>22/2/2005</w:t>
      </w:r>
      <w:proofErr w:type="gramEnd"/>
      <w:r w:rsidRPr="006B41BF">
        <w:rPr>
          <w:sz w:val="24"/>
          <w:szCs w:val="24"/>
        </w:rPr>
        <w:t xml:space="preserve"> tarihli ve 5302 sayılı İl Özel İdaresi Kanunu </w:t>
      </w:r>
      <w:r w:rsidRPr="006B41BF">
        <w:rPr>
          <w:sz w:val="24"/>
          <w:szCs w:val="24"/>
        </w:rPr>
        <w:lastRenderedPageBreak/>
        <w:t>ve diğer mevzuatla verilmiş olan yetki, görev ve sorumluluklar ilgisine göre bu kurum ve kuruluşlar tarafından kullanılır ve yerine getirilir. Söz konusu il özel idarelerinin mahkemelerde süren davaları ile il özel idaresi olarak faaliyet gösterdikleri dönem ve yapılan işlemlere ilişkin olarak açılacak davalarda muhatap, devir işleminin yapıldığı ilgili kurum ve kuruluştur.",</w:t>
      </w:r>
    </w:p>
    <w:p w:rsidR="006B41BF" w:rsidRPr="006B41BF" w:rsidRDefault="006B41BF" w:rsidP="006B41BF">
      <w:pPr>
        <w:jc w:val="both"/>
        <w:rPr>
          <w:sz w:val="24"/>
          <w:szCs w:val="24"/>
        </w:rPr>
      </w:pPr>
      <w:proofErr w:type="gramStart"/>
      <w:r w:rsidRPr="006B41BF">
        <w:rPr>
          <w:sz w:val="24"/>
          <w:szCs w:val="24"/>
        </w:rPr>
        <w:t xml:space="preserve">Geçici 1 inci maddesinin 5 inci fıkrasında; " Bu Kanun ile tüzel kişilikleri kaldırılan il özel idarelerinin her türlü taşınır ve taşınmaz malları, hak, alacak ve borçları, komisyon kararıyla ilgisine göre bakanlıklara, bakanlıkların bağlı veya ilgili kuruluşları ile bunların taşra teşkilatına, valiliklere, yatırım izleme ve koordinasyon başkanlığına, büyükşehir belediyesine ve bağlı kuruluşuna veya ilçe belediyesine devredilmesine karar verilir. </w:t>
      </w:r>
      <w:proofErr w:type="gramEnd"/>
      <w:r w:rsidRPr="006B41BF">
        <w:rPr>
          <w:sz w:val="24"/>
          <w:szCs w:val="24"/>
        </w:rPr>
        <w:t xml:space="preserve">Devir işlemi, yapılacak ilk mahalli idareler genel seçimi tarihinde uygulamaya konulur. Maliye Hazinesine devredilen taşınmazlar Kanunun yayımlandığı tarih itibarıyla kullanmakta olan kurumlara tahsis edilmiş sayılır. </w:t>
      </w:r>
      <w:proofErr w:type="gramStart"/>
      <w:r w:rsidRPr="006B41BF">
        <w:rPr>
          <w:sz w:val="24"/>
          <w:szCs w:val="24"/>
        </w:rPr>
        <w:t xml:space="preserve">Hazinenin özel mülkiyetindeki veya Devletin hüküm ve tasarrufu altındaki taşınmazlardan Maliye Bakanlığınca, bu Kanunun 1 inci maddesiyle tüzel kişilikleri kaldırılan il özel idarelerine, belediyelere ve köy tüzel kişiliklerine tahsis edilmiş olanlar; kuruluş kanunlarıyla kendilerine verilen kamusal nitelikteki görevleri yerine getirmeleri amacıyla ve komisyon kararıyla; ilgisine göre bakanlıklara, bakanlıkların bağlı veya ilgili kuruluşlarına, yatırım izleme ve koordinasyon başkanlıklarına, büyükşehir belediyelerine, büyükşehir belediyelerinin bağlı kuruluşlarına ve ilçe belediyelerine tahsis edilmiş sayılır." hükümlerine yer verilmiştir. </w:t>
      </w:r>
      <w:proofErr w:type="gramEnd"/>
    </w:p>
    <w:p w:rsidR="006B41BF" w:rsidRPr="006B41BF" w:rsidRDefault="006B41BF" w:rsidP="006B41BF">
      <w:pPr>
        <w:jc w:val="both"/>
        <w:rPr>
          <w:sz w:val="24"/>
          <w:szCs w:val="24"/>
        </w:rPr>
      </w:pPr>
      <w:r w:rsidRPr="006B41BF">
        <w:rPr>
          <w:sz w:val="24"/>
          <w:szCs w:val="24"/>
        </w:rPr>
        <w:t>Diğer yandan 6098 sayılı Türk Borçlar Kanununun 135 inci maddesinde; "Alacaklı ve borçlu sıfatlarının aynı kişide birleşmesiyle borç sona erer. Ancak, üçüncü kişilerin alacak üzerinde önceden mevcut olan hakları birleşmeden etkilenmez.</w:t>
      </w:r>
    </w:p>
    <w:p w:rsidR="006B41BF" w:rsidRPr="006B41BF" w:rsidRDefault="006B41BF" w:rsidP="006B41BF">
      <w:pPr>
        <w:jc w:val="both"/>
        <w:rPr>
          <w:sz w:val="24"/>
          <w:szCs w:val="24"/>
        </w:rPr>
      </w:pPr>
      <w:r w:rsidRPr="006B41BF">
        <w:rPr>
          <w:sz w:val="24"/>
          <w:szCs w:val="24"/>
        </w:rPr>
        <w:t>Birleşme geçmişe etkili olarak ortadan kalkarsa, borç varlığını sürdürür.</w:t>
      </w:r>
    </w:p>
    <w:p w:rsidR="006B41BF" w:rsidRPr="006B41BF" w:rsidRDefault="006B41BF" w:rsidP="006B41BF">
      <w:pPr>
        <w:jc w:val="both"/>
        <w:rPr>
          <w:sz w:val="24"/>
          <w:szCs w:val="24"/>
        </w:rPr>
      </w:pPr>
      <w:r w:rsidRPr="006B41BF">
        <w:rPr>
          <w:sz w:val="24"/>
          <w:szCs w:val="24"/>
        </w:rPr>
        <w:t xml:space="preserve">Taşınmaz </w:t>
      </w:r>
      <w:proofErr w:type="spellStart"/>
      <w:r w:rsidRPr="006B41BF">
        <w:rPr>
          <w:sz w:val="24"/>
          <w:szCs w:val="24"/>
        </w:rPr>
        <w:t>rehni</w:t>
      </w:r>
      <w:proofErr w:type="spellEnd"/>
      <w:r w:rsidRPr="006B41BF">
        <w:rPr>
          <w:sz w:val="24"/>
          <w:szCs w:val="24"/>
        </w:rPr>
        <w:t xml:space="preserve"> ve kıymetli evraka ilişkin özel hükümler saklıdır." hükmü düzenlenmiştir. </w:t>
      </w:r>
    </w:p>
    <w:p w:rsidR="006B41BF" w:rsidRPr="006B41BF" w:rsidRDefault="006B41BF" w:rsidP="006B41BF">
      <w:pPr>
        <w:jc w:val="both"/>
        <w:rPr>
          <w:sz w:val="24"/>
          <w:szCs w:val="24"/>
        </w:rPr>
      </w:pPr>
      <w:r w:rsidRPr="006B41BF">
        <w:rPr>
          <w:sz w:val="24"/>
          <w:szCs w:val="24"/>
        </w:rPr>
        <w:t xml:space="preserve">İlgi (a) yazı eki </w:t>
      </w:r>
      <w:proofErr w:type="gramStart"/>
      <w:r w:rsidRPr="006B41BF">
        <w:rPr>
          <w:sz w:val="24"/>
          <w:szCs w:val="24"/>
        </w:rPr>
        <w:t>....</w:t>
      </w:r>
      <w:proofErr w:type="gramEnd"/>
      <w:r w:rsidRPr="006B41BF">
        <w:rPr>
          <w:sz w:val="24"/>
          <w:szCs w:val="24"/>
        </w:rPr>
        <w:t xml:space="preserve"> 15. Asliye Hukuk Mahkemesinin 2011/... Hakem esas, 2012/</w:t>
      </w:r>
      <w:proofErr w:type="gramStart"/>
      <w:r w:rsidRPr="006B41BF">
        <w:rPr>
          <w:sz w:val="24"/>
          <w:szCs w:val="24"/>
        </w:rPr>
        <w:t>....</w:t>
      </w:r>
      <w:proofErr w:type="gramEnd"/>
      <w:r w:rsidRPr="006B41BF">
        <w:rPr>
          <w:sz w:val="24"/>
          <w:szCs w:val="24"/>
        </w:rPr>
        <w:t xml:space="preserve"> sayılı gerekçeli kararının tetkikinden Bakanlığımız tarafından İl Özel İdaresine izafetten </w:t>
      </w:r>
      <w:proofErr w:type="gramStart"/>
      <w:r w:rsidRPr="006B41BF">
        <w:rPr>
          <w:sz w:val="24"/>
          <w:szCs w:val="24"/>
        </w:rPr>
        <w:t>....</w:t>
      </w:r>
      <w:proofErr w:type="gramEnd"/>
      <w:r w:rsidRPr="006B41BF">
        <w:rPr>
          <w:sz w:val="24"/>
          <w:szCs w:val="24"/>
        </w:rPr>
        <w:t xml:space="preserve"> Valiliği aleyhine açılan davada 14.985,74 TL </w:t>
      </w:r>
      <w:proofErr w:type="spellStart"/>
      <w:r w:rsidRPr="006B41BF">
        <w:rPr>
          <w:sz w:val="24"/>
          <w:szCs w:val="24"/>
        </w:rPr>
        <w:t>nin</w:t>
      </w:r>
      <w:proofErr w:type="spellEnd"/>
      <w:r w:rsidRPr="006B41BF">
        <w:rPr>
          <w:sz w:val="24"/>
          <w:szCs w:val="24"/>
        </w:rPr>
        <w:t xml:space="preserve"> 23.10.2008 tarihinden itibaren işleyecek yasal faiziyle birlikte davalıdan alınarak davacıya verilmesine, ayrıca yargılama gideri ve vekalet ücretinin </w:t>
      </w:r>
      <w:proofErr w:type="gramStart"/>
      <w:r w:rsidRPr="006B41BF">
        <w:rPr>
          <w:sz w:val="24"/>
          <w:szCs w:val="24"/>
        </w:rPr>
        <w:t>de  davalıdan</w:t>
      </w:r>
      <w:proofErr w:type="gramEnd"/>
      <w:r w:rsidRPr="006B41BF">
        <w:rPr>
          <w:sz w:val="24"/>
          <w:szCs w:val="24"/>
        </w:rPr>
        <w:t xml:space="preserve"> alınarak davacıya verilmesine hükmedilmiştir. </w:t>
      </w:r>
    </w:p>
    <w:p w:rsidR="006B41BF" w:rsidRPr="006B41BF" w:rsidRDefault="006B41BF" w:rsidP="006B41BF">
      <w:pPr>
        <w:jc w:val="both"/>
        <w:rPr>
          <w:sz w:val="24"/>
          <w:szCs w:val="24"/>
        </w:rPr>
      </w:pPr>
      <w:r w:rsidRPr="006B41BF">
        <w:rPr>
          <w:sz w:val="24"/>
          <w:szCs w:val="24"/>
        </w:rPr>
        <w:t xml:space="preserve">6360 sayılı Kanun uyarınca </w:t>
      </w:r>
      <w:proofErr w:type="gramStart"/>
      <w:r w:rsidRPr="006B41BF">
        <w:rPr>
          <w:sz w:val="24"/>
          <w:szCs w:val="24"/>
        </w:rPr>
        <w:t>.....</w:t>
      </w:r>
      <w:proofErr w:type="gramEnd"/>
      <w:r w:rsidRPr="006B41BF">
        <w:rPr>
          <w:sz w:val="24"/>
          <w:szCs w:val="24"/>
        </w:rPr>
        <w:t xml:space="preserve">Valiliği İl Özel İdaresinin tüzel kişiliği sona ermiştir. Anılan Kanun uyarınca kurulan devir tasfiye ve paylaştırma komisyonunca söz konusu dava ile ilgili Bakanlığımıza devir yapılmış ise  (ilgi (a) yazı ve eklerinden Bakanlığımıza konuya ilişkin bir devir yapılıp yapılmadığı anlaşılamamıştır.) 6098 sayılı Türk Borçlar Kanununun 135 inci maddesi uyarınca alacaklı ve borçlu sıfatı birleşmiş olacağından asıl alacakla ilgili muhasebe tekniği açısından Bakanlığımız Strateji Geliştirme Başkanlığından görüş alınabileceği, ancak </w:t>
      </w:r>
      <w:proofErr w:type="gramStart"/>
      <w:r w:rsidRPr="006B41BF">
        <w:rPr>
          <w:sz w:val="24"/>
          <w:szCs w:val="24"/>
        </w:rPr>
        <w:t>vekalet</w:t>
      </w:r>
      <w:proofErr w:type="gramEnd"/>
      <w:r w:rsidRPr="006B41BF">
        <w:rPr>
          <w:sz w:val="24"/>
          <w:szCs w:val="24"/>
        </w:rPr>
        <w:t xml:space="preserve"> ücretinin ödenebileceği değerlendirilmiştir. </w:t>
      </w:r>
    </w:p>
    <w:p w:rsidR="006B41BF" w:rsidRPr="006B41BF" w:rsidRDefault="006B41BF" w:rsidP="006B41BF">
      <w:pPr>
        <w:jc w:val="both"/>
        <w:rPr>
          <w:sz w:val="24"/>
          <w:szCs w:val="24"/>
        </w:rPr>
      </w:pPr>
      <w:r w:rsidRPr="006B41BF">
        <w:rPr>
          <w:sz w:val="24"/>
          <w:szCs w:val="24"/>
        </w:rPr>
        <w:lastRenderedPageBreak/>
        <w:t>Takdiri Valiliğinize ait olmak üzere bilgilerinizi rica ederim.</w:t>
      </w:r>
    </w:p>
    <w:p w:rsidR="00CC6AC7" w:rsidRPr="006B41BF" w:rsidRDefault="006B41BF" w:rsidP="006B41BF">
      <w:pPr>
        <w:jc w:val="both"/>
        <w:rPr>
          <w:sz w:val="24"/>
          <w:szCs w:val="24"/>
        </w:rPr>
      </w:pPr>
      <w:r w:rsidRPr="006B41BF">
        <w:rPr>
          <w:sz w:val="24"/>
          <w:szCs w:val="24"/>
        </w:rPr>
        <w:t> </w:t>
      </w:r>
      <w:bookmarkEnd w:id="0"/>
    </w:p>
    <w:sectPr w:rsidR="00CC6AC7" w:rsidRPr="006B4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BF"/>
    <w:rsid w:val="00156327"/>
    <w:rsid w:val="006B41BF"/>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2016-05-04T08:30:00Z</dcterms:created>
  <dcterms:modified xsi:type="dcterms:W3CDTF">2016-05-04T08:31:00Z</dcterms:modified>
</cp:coreProperties>
</file>