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092" w:rsidRPr="00C07262" w:rsidRDefault="00373092" w:rsidP="00373092">
      <w:pPr>
        <w:rPr>
          <w:b/>
          <w:sz w:val="24"/>
          <w:szCs w:val="24"/>
        </w:rPr>
      </w:pPr>
      <w:r w:rsidRPr="00C07262">
        <w:rPr>
          <w:b/>
          <w:sz w:val="24"/>
          <w:szCs w:val="24"/>
        </w:rPr>
        <w:t>Konu:</w:t>
      </w:r>
      <w:r w:rsidR="00C07262" w:rsidRPr="00C07262">
        <w:rPr>
          <w:b/>
          <w:sz w:val="24"/>
          <w:szCs w:val="24"/>
        </w:rPr>
        <w:t xml:space="preserve">  </w:t>
      </w:r>
      <w:r w:rsidR="00C07262" w:rsidRPr="00C07262">
        <w:rPr>
          <w:sz w:val="24"/>
          <w:szCs w:val="24"/>
        </w:rPr>
        <w:t>Aday Öğretmenlerin adaylığının kaldırılması hakkında</w:t>
      </w:r>
    </w:p>
    <w:p w:rsidR="00373092" w:rsidRPr="00373092" w:rsidRDefault="00373092" w:rsidP="00373092">
      <w:pPr>
        <w:ind w:firstLine="708"/>
        <w:rPr>
          <w:sz w:val="24"/>
          <w:szCs w:val="24"/>
        </w:rPr>
      </w:pPr>
      <w:r w:rsidRPr="00373092">
        <w:rPr>
          <w:sz w:val="24"/>
          <w:szCs w:val="24"/>
        </w:rPr>
        <w:t xml:space="preserve">Bakanlığımıza ataması yapılan öğretmenlerin adaylık işlemlerinin kaldırılmasına dair tereddütler oluştuğu bu tereddütlerin giderilmesine yönelik </w:t>
      </w:r>
      <w:proofErr w:type="gramStart"/>
      <w:r w:rsidRPr="00373092">
        <w:rPr>
          <w:sz w:val="24"/>
          <w:szCs w:val="24"/>
        </w:rPr>
        <w:t>olarak   üzerine</w:t>
      </w:r>
      <w:proofErr w:type="gramEnd"/>
      <w:r w:rsidRPr="00373092">
        <w:rPr>
          <w:sz w:val="24"/>
          <w:szCs w:val="24"/>
        </w:rPr>
        <w:t xml:space="preserve"> ilgi (b) Genelge yayınlanmıştır.  ancak genelgenin "c" bendinin uygulanmasına ilişkin bir takım </w:t>
      </w:r>
      <w:r w:rsidR="0043307C" w:rsidRPr="00373092">
        <w:rPr>
          <w:sz w:val="24"/>
          <w:szCs w:val="24"/>
        </w:rPr>
        <w:t>tereddütler</w:t>
      </w:r>
      <w:bookmarkStart w:id="0" w:name="_GoBack"/>
      <w:bookmarkEnd w:id="0"/>
      <w:r w:rsidRPr="00373092">
        <w:rPr>
          <w:sz w:val="24"/>
          <w:szCs w:val="24"/>
        </w:rPr>
        <w:t xml:space="preserve"> yaşandığı belirtilmiştir.</w:t>
      </w:r>
    </w:p>
    <w:p w:rsidR="00373092" w:rsidRPr="00373092" w:rsidRDefault="00373092" w:rsidP="00373092">
      <w:pPr>
        <w:rPr>
          <w:sz w:val="24"/>
          <w:szCs w:val="24"/>
        </w:rPr>
      </w:pPr>
      <w:r w:rsidRPr="00373092">
        <w:rPr>
          <w:sz w:val="24"/>
          <w:szCs w:val="24"/>
        </w:rPr>
        <w:tab/>
        <w:t>İlgi (a) yazıda belirtilen tereddütlere ilişkin Müşavirliğimiz görüşü aşağıda belirtilmiştir.</w:t>
      </w:r>
    </w:p>
    <w:p w:rsidR="00373092" w:rsidRPr="00373092" w:rsidRDefault="00373092" w:rsidP="00373092">
      <w:pPr>
        <w:rPr>
          <w:sz w:val="24"/>
          <w:szCs w:val="24"/>
        </w:rPr>
      </w:pPr>
      <w:r w:rsidRPr="00373092">
        <w:rPr>
          <w:sz w:val="24"/>
          <w:szCs w:val="24"/>
        </w:rPr>
        <w:tab/>
      </w:r>
      <w:proofErr w:type="gramStart"/>
      <w:r w:rsidRPr="00373092">
        <w:rPr>
          <w:sz w:val="24"/>
          <w:szCs w:val="24"/>
        </w:rPr>
        <w:t xml:space="preserve">a) İlgi (a) yazıda da belirtildiği üzere ilgi (c)  Yönetmeliğin 49. maddesinde “kurumlarca ihtiyaç duyulan alanlarda öğretmen yetiştiren yükseköğretim kurumundan mezun öğretmen bulunmaması halinde dersin özelliğine göre uzman ve usta öğreticiler görevlendirilebilir” hükmünden uzman ve usta öğreticileri öğretmenden ayırmış ve uzman ve usta öğreticinin öğretmenlik şartlarını taşıyan kimseler olmadıklarının anlaşılması gerektiği açıktır. </w:t>
      </w:r>
      <w:proofErr w:type="gramEnd"/>
      <w:r w:rsidRPr="00373092">
        <w:rPr>
          <w:sz w:val="24"/>
          <w:szCs w:val="24"/>
        </w:rPr>
        <w:t xml:space="preserve">İlgililerin müracaatları sırasında çeşitli </w:t>
      </w:r>
      <w:proofErr w:type="spellStart"/>
      <w:r w:rsidRPr="00373092">
        <w:rPr>
          <w:sz w:val="24"/>
          <w:szCs w:val="24"/>
        </w:rPr>
        <w:t>ünvanlar</w:t>
      </w:r>
      <w:proofErr w:type="spellEnd"/>
      <w:r w:rsidRPr="00373092">
        <w:rPr>
          <w:sz w:val="24"/>
          <w:szCs w:val="24"/>
        </w:rPr>
        <w:t xml:space="preserve"> adı altında çalıştıklarından bahsedilmişse de, fakültelerin öğretmen yetiştiren kurumlarından mezun olan, </w:t>
      </w:r>
      <w:proofErr w:type="spellStart"/>
      <w:r w:rsidRPr="00373092">
        <w:rPr>
          <w:sz w:val="24"/>
          <w:szCs w:val="24"/>
        </w:rPr>
        <w:t>pedogojik</w:t>
      </w:r>
      <w:proofErr w:type="spellEnd"/>
      <w:r w:rsidRPr="00373092">
        <w:rPr>
          <w:sz w:val="24"/>
          <w:szCs w:val="24"/>
        </w:rPr>
        <w:t xml:space="preserve"> </w:t>
      </w:r>
      <w:proofErr w:type="gramStart"/>
      <w:r w:rsidRPr="00373092">
        <w:rPr>
          <w:sz w:val="24"/>
          <w:szCs w:val="24"/>
        </w:rPr>
        <w:t>formasyona</w:t>
      </w:r>
      <w:proofErr w:type="gramEnd"/>
      <w:r w:rsidRPr="00373092">
        <w:rPr>
          <w:sz w:val="24"/>
          <w:szCs w:val="24"/>
        </w:rPr>
        <w:t xml:space="preserve"> sahip,  öğretmenlik şartlarını taşıyan ve fiilen öğretmen olarak çalışan hangi </w:t>
      </w:r>
      <w:proofErr w:type="spellStart"/>
      <w:r w:rsidRPr="00373092">
        <w:rPr>
          <w:sz w:val="24"/>
          <w:szCs w:val="24"/>
        </w:rPr>
        <w:t>ünvan</w:t>
      </w:r>
      <w:proofErr w:type="spellEnd"/>
      <w:r w:rsidRPr="00373092">
        <w:rPr>
          <w:sz w:val="24"/>
          <w:szCs w:val="24"/>
        </w:rPr>
        <w:t xml:space="preserve"> adı altında olursa olsun öğretmen olarak sayılması gerektiği, </w:t>
      </w:r>
    </w:p>
    <w:p w:rsidR="00373092" w:rsidRPr="00373092" w:rsidRDefault="00373092" w:rsidP="00373092">
      <w:pPr>
        <w:rPr>
          <w:sz w:val="24"/>
          <w:szCs w:val="24"/>
        </w:rPr>
      </w:pPr>
      <w:r w:rsidRPr="00373092">
        <w:rPr>
          <w:sz w:val="24"/>
          <w:szCs w:val="24"/>
        </w:rPr>
        <w:tab/>
      </w:r>
      <w:proofErr w:type="gramStart"/>
      <w:r w:rsidRPr="00373092">
        <w:rPr>
          <w:sz w:val="24"/>
          <w:szCs w:val="24"/>
        </w:rPr>
        <w:t xml:space="preserve">b) Hali hazırda kişilerin adaylıklarının kaldırılmasına ilişkin belgeler incelendiğinde adaylıkların "aday öğretmen" sıfatıyla kaldırıldığı kişilerin </w:t>
      </w:r>
      <w:proofErr w:type="spellStart"/>
      <w:r w:rsidRPr="00373092">
        <w:rPr>
          <w:sz w:val="24"/>
          <w:szCs w:val="24"/>
        </w:rPr>
        <w:t>öğretemenlik</w:t>
      </w:r>
      <w:proofErr w:type="spellEnd"/>
      <w:r w:rsidRPr="00373092">
        <w:rPr>
          <w:sz w:val="24"/>
          <w:szCs w:val="24"/>
        </w:rPr>
        <w:t xml:space="preserve"> şartlarını taşıdığı, fiilen öğretmenlik mesleğini icra ettiğini ve resmi okullarda görevli öğretmenler ile aynı eğitimi aldıkları ve aynı sınavlara tabi tutuldukları anlaşılmakta olup, kişilerin müktesep haklarına halel gelmemesi için "öğretmenlikte adaylığı kaldırılmıştır" ibaresinin yeterli olacağı, </w:t>
      </w:r>
      <w:proofErr w:type="gramEnd"/>
    </w:p>
    <w:p w:rsidR="00373092" w:rsidRPr="00373092" w:rsidRDefault="00373092" w:rsidP="00A803B9">
      <w:pPr>
        <w:ind w:firstLine="708"/>
        <w:rPr>
          <w:sz w:val="24"/>
          <w:szCs w:val="24"/>
        </w:rPr>
      </w:pPr>
      <w:r w:rsidRPr="00373092">
        <w:rPr>
          <w:sz w:val="24"/>
          <w:szCs w:val="24"/>
        </w:rPr>
        <w:t xml:space="preserve">c) İlgi (d) yönergenin 38. maddesinin 3. bendinde “Adaylığının kaldırılması teklif edilenlerin adaylıkları valilikçe kaldırılır.” hükmü yer aldığı belirtilmiş olup, bu yetkinin diğer idari ajanlara devredilmeyeceği, yapılan işlemlerin yetki yönünden sakat olduğu </w:t>
      </w:r>
      <w:proofErr w:type="gramStart"/>
      <w:r w:rsidRPr="00373092">
        <w:rPr>
          <w:sz w:val="24"/>
          <w:szCs w:val="24"/>
        </w:rPr>
        <w:t xml:space="preserve">düşünülmekle birlikte, idarenin iç işleyişine ilişkin böylesi bir yetki sorunun kişilerin aleyhine bir durum yaratmasının hukukun genel ilkeleri, idari istikrar, hukuki belirlilik ilkesine aykırı olacağı değerlendirilmektedir. </w:t>
      </w:r>
      <w:proofErr w:type="gramEnd"/>
    </w:p>
    <w:p w:rsidR="00CC6AC7" w:rsidRPr="00373092" w:rsidRDefault="00373092" w:rsidP="00373092">
      <w:pPr>
        <w:rPr>
          <w:sz w:val="24"/>
          <w:szCs w:val="24"/>
        </w:rPr>
      </w:pPr>
      <w:r w:rsidRPr="00373092">
        <w:rPr>
          <w:sz w:val="24"/>
          <w:szCs w:val="24"/>
        </w:rPr>
        <w:tab/>
        <w:t>Bilgilerinize arz ederim.</w:t>
      </w:r>
    </w:p>
    <w:sectPr w:rsidR="00CC6AC7" w:rsidRPr="003730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092"/>
    <w:rsid w:val="00156327"/>
    <w:rsid w:val="00373092"/>
    <w:rsid w:val="0043307C"/>
    <w:rsid w:val="00A803B9"/>
    <w:rsid w:val="00C07262"/>
    <w:rsid w:val="00CC6A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 PEKTURK</dc:creator>
  <cp:lastModifiedBy>Ceren PEKTURK</cp:lastModifiedBy>
  <cp:revision>4</cp:revision>
  <dcterms:created xsi:type="dcterms:W3CDTF">2016-05-04T07:54:00Z</dcterms:created>
  <dcterms:modified xsi:type="dcterms:W3CDTF">2016-05-04T07:56:00Z</dcterms:modified>
</cp:coreProperties>
</file>